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98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26"/>
          <w:szCs w:val="26"/>
          <w:rtl w:val="0"/>
        </w:rPr>
        <w:t xml:space="preserve">To write in this form - you can download or save a copy to your Google drive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Talk through the violence prevention strategies below and check off which systems (or sectors) might be involved.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Example: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Family/household financial security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helps prevent child abuse and neglect, youth and community violence, and intimate partner violence.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  <w:sectPr>
          <w:footerReference r:id="rId6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influence the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financial security of families/households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16">
      <w:pPr>
        <w:widowControl w:val="0"/>
        <w:spacing w:after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usiness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sector and other employers impact the availability and wages of jobs. </w:t>
      </w:r>
    </w:p>
    <w:p w:rsidR="00000000" w:rsidDel="00000000" w:rsidP="00000000" w:rsidRDefault="00000000" w:rsidRPr="00000000" w14:paraId="00000017">
      <w:pPr>
        <w:widowControl w:val="0"/>
        <w:spacing w:after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amount and quality of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education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 individual has impacts their earnings. </w:t>
      </w:r>
    </w:p>
    <w:p w:rsidR="00000000" w:rsidDel="00000000" w:rsidP="00000000" w:rsidRDefault="00000000" w:rsidRPr="00000000" w14:paraId="00000018">
      <w:pPr>
        <w:widowControl w:val="0"/>
        <w:spacing w:after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Financial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: The ability to access traditional bank accounts allows individuals to avoid predatory lenders.</w:t>
      </w:r>
    </w:p>
    <w:p w:rsidR="00000000" w:rsidDel="00000000" w:rsidP="00000000" w:rsidRDefault="00000000" w:rsidRPr="00000000" w14:paraId="00000019">
      <w:pPr>
        <w:widowControl w:val="0"/>
        <w:spacing w:after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Healthcare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costs are a big contributor to debt. </w:t>
      </w:r>
    </w:p>
    <w:p w:rsidR="00000000" w:rsidDel="00000000" w:rsidP="00000000" w:rsidRDefault="00000000" w:rsidRPr="00000000" w14:paraId="0000001A">
      <w:pPr>
        <w:widowControl w:val="0"/>
        <w:spacing w:after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affordability of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housing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greatly impacts the financial security of families. Owning a home builds generational wealth.</w:t>
      </w:r>
    </w:p>
    <w:p w:rsidR="00000000" w:rsidDel="00000000" w:rsidP="00000000" w:rsidRDefault="00000000" w:rsidRPr="00000000" w14:paraId="0000001B">
      <w:pPr>
        <w:widowControl w:val="0"/>
        <w:spacing w:after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Legislative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bodies set minimum wages, limitations on predatory lending practices, create affordable housing incentives, establish tax credits, and many more policies that impact financial security. </w:t>
      </w:r>
    </w:p>
    <w:p w:rsidR="00000000" w:rsidDel="00000000" w:rsidP="00000000" w:rsidRDefault="00000000" w:rsidRPr="00000000" w14:paraId="0000001C">
      <w:pPr>
        <w:widowControl w:val="0"/>
        <w:spacing w:after="240" w:lineRule="auto"/>
        <w:ind w:left="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*   *   *   *   *   *   *   *   *   *   * </w:t>
      </w:r>
    </w:p>
    <w:p w:rsidR="00000000" w:rsidDel="00000000" w:rsidP="00000000" w:rsidRDefault="00000000" w:rsidRPr="00000000" w14:paraId="0000001D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Your Turn!: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Family-friendly workplace policies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(such as paid family, medical, or sick leave) support employees in meeting their personal and family health care needs and have been shown to reduce child abuse and neglect. 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influence the availability of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family-friendly workplace policies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2C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2E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before="200" w:lineRule="auto"/>
        <w:ind w:left="720" w:firstLine="0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   *   * Continued on the next page *   *  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Your Turn!: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Access to quality childcare and early childhood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have been shown to reduce child abuse and neglect as well as youth and community violence. 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influence access to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quality childcare and early childhood education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41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43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240" w:before="20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Your Turn!: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Home visitation and parenting skill coaching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have been shown to reduce child abuse and neglect, youth and community violence, and intimate partner violence. </w:t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could be involved with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home visitation and parenting skill coaching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54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56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Your Turn!: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Connecting youth to caring adults and activities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been shown to help prevent youth and community violence. </w:t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could be involved with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connecting youth to caring adults and activities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3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68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6A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Your Turn!: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Supporting survivors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been shown to increase safety and lessen harm from intimate partner violence. </w:t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could be involved with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supporting survivors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6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7B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7D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Your Turn!: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Restorative justice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has been shown to prevent perpetuation of youth and community violence. </w:t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systems/sectors might be involved with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restorative justice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5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8E">
      <w:pPr>
        <w:widowControl w:val="0"/>
        <w:spacing w:after="240" w:lineRule="auto"/>
        <w:ind w:left="72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240" w:befor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90">
      <w:pPr>
        <w:widowControl w:val="0"/>
        <w:spacing w:after="240" w:before="200" w:lineRule="auto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240" w:before="200" w:lineRule="auto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 you think about your work - which systems do you already interact with?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A1">
      <w:pPr>
        <w:widowControl w:val="0"/>
        <w:spacing w:after="240" w:lineRule="auto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systems would you like to collaborate with more?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Educational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Healthcare 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Judicial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Health 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Safety 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Recreational, Parks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Service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________________</w:t>
      </w:r>
    </w:p>
    <w:p w:rsidR="00000000" w:rsidDel="00000000" w:rsidP="00000000" w:rsidRDefault="00000000" w:rsidRPr="00000000" w14:paraId="000000B0">
      <w:pPr>
        <w:widowControl w:val="0"/>
        <w:spacing w:after="240" w:lineRule="auto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Why?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